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3E428" w14:textId="32BE35C6" w:rsidR="00403197" w:rsidRPr="00972F1C" w:rsidRDefault="00403197" w:rsidP="00403197">
      <w:pPr>
        <w:pStyle w:val="ListParagraph"/>
        <w:numPr>
          <w:ilvl w:val="0"/>
          <w:numId w:val="1"/>
        </w:numPr>
        <w:rPr>
          <w:rFonts w:ascii="Poppins" w:hAnsi="Poppins" w:cs="Poppins"/>
          <w:sz w:val="20"/>
          <w:szCs w:val="20"/>
        </w:rPr>
      </w:pPr>
      <w:bookmarkStart w:id="0" w:name="_GoBack"/>
      <w:bookmarkEnd w:id="0"/>
      <w:r w:rsidRPr="00972F1C">
        <w:rPr>
          <w:rFonts w:ascii="Poppins" w:hAnsi="Poppins" w:cs="Poppins"/>
          <w:b/>
          <w:bCs/>
          <w:sz w:val="20"/>
          <w:szCs w:val="20"/>
        </w:rPr>
        <w:t>Full-time, fixed-term (12 month) or part-time positions available for qualified Neurologists</w:t>
      </w:r>
    </w:p>
    <w:p w14:paraId="52A4CCE3" w14:textId="77777777" w:rsidR="00403197" w:rsidRPr="00403197" w:rsidRDefault="00403197" w:rsidP="00403197">
      <w:pPr>
        <w:numPr>
          <w:ilvl w:val="0"/>
          <w:numId w:val="1"/>
        </w:numPr>
        <w:rPr>
          <w:rFonts w:ascii="Poppins" w:hAnsi="Poppins" w:cs="Poppins"/>
          <w:sz w:val="20"/>
          <w:szCs w:val="20"/>
        </w:rPr>
      </w:pPr>
      <w:r w:rsidRPr="00403197">
        <w:rPr>
          <w:rFonts w:ascii="Poppins" w:hAnsi="Poppins" w:cs="Poppins"/>
          <w:b/>
          <w:bCs/>
          <w:sz w:val="20"/>
          <w:szCs w:val="20"/>
        </w:rPr>
        <w:t>Opportunity to work across a diverse range of specialties within a supportive team </w:t>
      </w:r>
    </w:p>
    <w:p w14:paraId="1755120F" w14:textId="0FBAE69B" w:rsidR="00403197" w:rsidRPr="00972F1C" w:rsidRDefault="00403197" w:rsidP="00403197">
      <w:pPr>
        <w:numPr>
          <w:ilvl w:val="0"/>
          <w:numId w:val="1"/>
        </w:numPr>
        <w:rPr>
          <w:rFonts w:ascii="Poppins" w:hAnsi="Poppins" w:cs="Poppins"/>
          <w:sz w:val="20"/>
          <w:szCs w:val="20"/>
        </w:rPr>
      </w:pPr>
      <w:r w:rsidRPr="00403197">
        <w:rPr>
          <w:rFonts w:ascii="Poppins" w:hAnsi="Poppins" w:cs="Poppins"/>
          <w:b/>
          <w:bCs/>
          <w:sz w:val="20"/>
          <w:szCs w:val="20"/>
        </w:rPr>
        <w:t>Based at Auckland City</w:t>
      </w:r>
      <w:r w:rsidRPr="00972F1C">
        <w:rPr>
          <w:rFonts w:ascii="Poppins" w:hAnsi="Poppins" w:cs="Poppins"/>
          <w:b/>
          <w:bCs/>
          <w:sz w:val="20"/>
          <w:szCs w:val="20"/>
        </w:rPr>
        <w:t>, Rotorua or Taupo Hospitals in New Zealand</w:t>
      </w:r>
    </w:p>
    <w:p w14:paraId="18632A49" w14:textId="5A43A628" w:rsidR="00403197" w:rsidRPr="00403197" w:rsidRDefault="00403197" w:rsidP="00403197">
      <w:pPr>
        <w:rPr>
          <w:rFonts w:ascii="Poppins" w:hAnsi="Poppins" w:cs="Poppins"/>
          <w:b/>
          <w:bCs/>
          <w:sz w:val="20"/>
          <w:szCs w:val="20"/>
        </w:rPr>
      </w:pPr>
      <w:r w:rsidRPr="00972F1C">
        <w:rPr>
          <w:rFonts w:ascii="Poppins" w:hAnsi="Poppins" w:cs="Poppins"/>
          <w:b/>
          <w:bCs/>
          <w:sz w:val="20"/>
          <w:szCs w:val="20"/>
        </w:rPr>
        <w:t>About the role</w:t>
      </w:r>
    </w:p>
    <w:p w14:paraId="3502C58C" w14:textId="77777777" w:rsidR="00403197" w:rsidRPr="00403197" w:rsidRDefault="00403197" w:rsidP="00403197">
      <w:pPr>
        <w:rPr>
          <w:rFonts w:ascii="Poppins" w:hAnsi="Poppins" w:cs="Poppins"/>
          <w:sz w:val="20"/>
          <w:szCs w:val="20"/>
        </w:rPr>
      </w:pPr>
      <w:r w:rsidRPr="00403197">
        <w:rPr>
          <w:rFonts w:ascii="Poppins" w:hAnsi="Poppins" w:cs="Poppins"/>
          <w:sz w:val="20"/>
          <w:szCs w:val="20"/>
        </w:rPr>
        <w:t>The Department of Neurology at Te Toka Tumai Auckland, Rotorua Hospital, and Taupō Hospital are currently seeking qualified Neurologists to join their teams.</w:t>
      </w:r>
    </w:p>
    <w:p w14:paraId="46615E6E" w14:textId="07B2FA48" w:rsidR="00403197" w:rsidRPr="00403197" w:rsidRDefault="00403197" w:rsidP="00403197">
      <w:pPr>
        <w:rPr>
          <w:rFonts w:ascii="Poppins" w:hAnsi="Poppins" w:cs="Poppins"/>
          <w:sz w:val="20"/>
          <w:szCs w:val="20"/>
        </w:rPr>
      </w:pPr>
      <w:r w:rsidRPr="00403197">
        <w:rPr>
          <w:rFonts w:ascii="Poppins" w:hAnsi="Poppins" w:cs="Poppins"/>
          <w:sz w:val="20"/>
          <w:szCs w:val="20"/>
        </w:rPr>
        <w:t xml:space="preserve">At Te Toka Tumai Auckland, the department provides tertiary inpatient and outpatient adult neurology care to the greater Auckland region with a catchment population of 1.7 million. Services include two national referral programmes </w:t>
      </w:r>
      <w:r w:rsidRPr="00972F1C">
        <w:rPr>
          <w:rFonts w:ascii="Poppins" w:hAnsi="Poppins" w:cs="Poppins"/>
          <w:sz w:val="20"/>
          <w:szCs w:val="20"/>
        </w:rPr>
        <w:t>-</w:t>
      </w:r>
      <w:r w:rsidRPr="00403197">
        <w:rPr>
          <w:rFonts w:ascii="Poppins" w:hAnsi="Poppins" w:cs="Poppins"/>
          <w:sz w:val="20"/>
          <w:szCs w:val="20"/>
        </w:rPr>
        <w:t xml:space="preserve"> Epilepsy Video Monitoring and the Epilepsy Surgery Programme </w:t>
      </w:r>
      <w:r w:rsidRPr="00972F1C">
        <w:rPr>
          <w:rFonts w:ascii="Poppins" w:hAnsi="Poppins" w:cs="Poppins"/>
          <w:sz w:val="20"/>
          <w:szCs w:val="20"/>
        </w:rPr>
        <w:t>-</w:t>
      </w:r>
      <w:r w:rsidRPr="00403197">
        <w:rPr>
          <w:rFonts w:ascii="Poppins" w:hAnsi="Poppins" w:cs="Poppins"/>
          <w:sz w:val="20"/>
          <w:szCs w:val="20"/>
        </w:rPr>
        <w:t xml:space="preserve"> as well as Deep Brain Stimulation and a 24/7 multi-region stroke endovascular clot retrieval service.</w:t>
      </w:r>
    </w:p>
    <w:p w14:paraId="2070823F" w14:textId="77777777" w:rsidR="00403197" w:rsidRPr="00403197" w:rsidRDefault="00403197" w:rsidP="00403197">
      <w:pPr>
        <w:rPr>
          <w:rFonts w:ascii="Poppins" w:hAnsi="Poppins" w:cs="Poppins"/>
          <w:sz w:val="20"/>
          <w:szCs w:val="20"/>
        </w:rPr>
      </w:pPr>
      <w:r w:rsidRPr="00403197">
        <w:rPr>
          <w:rFonts w:ascii="Poppins" w:hAnsi="Poppins" w:cs="Poppins"/>
          <w:sz w:val="20"/>
          <w:szCs w:val="20"/>
        </w:rPr>
        <w:t>At Rotorua and Taupō Hospitals, successful applicants will provide neurology clinics and inpatient consultations as part of a supportive, collaborative team. Rotorua Hospital also has a proud history of training registrars, house officers, and medical students, offering a rewarding professional development environment.</w:t>
      </w:r>
    </w:p>
    <w:p w14:paraId="17416E06" w14:textId="1660B503" w:rsidR="00403197" w:rsidRPr="00972F1C" w:rsidRDefault="00403197" w:rsidP="00403197">
      <w:pPr>
        <w:rPr>
          <w:rFonts w:ascii="Poppins" w:hAnsi="Poppins" w:cs="Poppins"/>
          <w:sz w:val="20"/>
          <w:szCs w:val="20"/>
        </w:rPr>
      </w:pPr>
      <w:r w:rsidRPr="00403197">
        <w:rPr>
          <w:rFonts w:ascii="Poppins" w:hAnsi="Poppins" w:cs="Poppins"/>
          <w:sz w:val="20"/>
          <w:szCs w:val="20"/>
        </w:rPr>
        <w:t>The Lakes district, encompassing Rotorua and Taupō, has a growing multicultural community and is becoming the lifestyle destination of choice. Working at Health New Zealand</w:t>
      </w:r>
      <w:r w:rsidRPr="00972F1C">
        <w:rPr>
          <w:rFonts w:ascii="Poppins" w:hAnsi="Poppins" w:cs="Poppins"/>
          <w:sz w:val="20"/>
          <w:szCs w:val="20"/>
        </w:rPr>
        <w:t xml:space="preserve"> -</w:t>
      </w:r>
      <w:r w:rsidRPr="00403197">
        <w:rPr>
          <w:rFonts w:ascii="Poppins" w:hAnsi="Poppins" w:cs="Poppins"/>
          <w:sz w:val="20"/>
          <w:szCs w:val="20"/>
        </w:rPr>
        <w:t xml:space="preserve"> Te Whatu Ora across these locations provides an excellent opportunity to balance an amazing lifestyle with a rewarding professional experience.</w:t>
      </w:r>
    </w:p>
    <w:p w14:paraId="64C63B3A" w14:textId="01E106FD" w:rsidR="00403197" w:rsidRPr="00972F1C" w:rsidRDefault="00403197" w:rsidP="00403197">
      <w:pPr>
        <w:rPr>
          <w:rFonts w:ascii="Poppins" w:hAnsi="Poppins" w:cs="Poppins"/>
          <w:b/>
          <w:bCs/>
          <w:sz w:val="20"/>
          <w:szCs w:val="20"/>
        </w:rPr>
      </w:pPr>
      <w:r w:rsidRPr="00972F1C">
        <w:rPr>
          <w:rFonts w:ascii="Poppins" w:hAnsi="Poppins" w:cs="Poppins"/>
          <w:b/>
          <w:bCs/>
          <w:sz w:val="20"/>
          <w:szCs w:val="20"/>
        </w:rPr>
        <w:t>About you</w:t>
      </w:r>
    </w:p>
    <w:p w14:paraId="1CD7D586" w14:textId="77777777" w:rsidR="00403197" w:rsidRPr="00403197" w:rsidRDefault="00403197" w:rsidP="00403197">
      <w:pPr>
        <w:rPr>
          <w:rFonts w:ascii="Poppins" w:hAnsi="Poppins" w:cs="Poppins"/>
          <w:sz w:val="20"/>
          <w:szCs w:val="20"/>
        </w:rPr>
      </w:pPr>
      <w:r w:rsidRPr="00403197">
        <w:rPr>
          <w:rFonts w:ascii="Poppins" w:hAnsi="Poppins" w:cs="Poppins"/>
          <w:sz w:val="20"/>
          <w:szCs w:val="20"/>
        </w:rPr>
        <w:t>The post is open to medically qualified applicants who should hold the FRACP or equivalent qualification and be eligible for vocational registration with the New Zealand Medical Council.</w:t>
      </w:r>
    </w:p>
    <w:p w14:paraId="1F273C1D" w14:textId="77777777" w:rsidR="00403197" w:rsidRPr="00972F1C" w:rsidRDefault="00403197" w:rsidP="00403197">
      <w:pPr>
        <w:rPr>
          <w:rFonts w:ascii="Poppins" w:hAnsi="Poppins" w:cs="Poppins"/>
          <w:sz w:val="20"/>
          <w:szCs w:val="20"/>
        </w:rPr>
      </w:pPr>
      <w:r w:rsidRPr="00403197">
        <w:rPr>
          <w:rFonts w:ascii="Poppins" w:hAnsi="Poppins" w:cs="Poppins"/>
          <w:sz w:val="20"/>
          <w:szCs w:val="20"/>
        </w:rPr>
        <w:t>You will be required to provide source verification of your qualifications for your registration application. For more information about the registration process and source verification of qualifications, please </w:t>
      </w:r>
      <w:hyperlink r:id="rId5" w:tgtFrame="_blank" w:history="1">
        <w:r w:rsidRPr="00403197">
          <w:rPr>
            <w:rStyle w:val="Hyperlink"/>
            <w:rFonts w:ascii="Poppins" w:hAnsi="Poppins" w:cs="Poppins"/>
            <w:color w:val="auto"/>
            <w:sz w:val="20"/>
            <w:szCs w:val="20"/>
          </w:rPr>
          <w:t>click here</w:t>
        </w:r>
      </w:hyperlink>
      <w:r w:rsidRPr="00403197">
        <w:rPr>
          <w:rFonts w:ascii="Poppins" w:hAnsi="Poppins" w:cs="Poppins"/>
          <w:sz w:val="20"/>
          <w:szCs w:val="20"/>
        </w:rPr>
        <w:t>. </w:t>
      </w:r>
    </w:p>
    <w:p w14:paraId="0EE62346" w14:textId="2DE3E3B6" w:rsidR="00403197" w:rsidRPr="00972F1C" w:rsidRDefault="00403197" w:rsidP="00403197">
      <w:pPr>
        <w:numPr>
          <w:ilvl w:val="0"/>
          <w:numId w:val="3"/>
        </w:numPr>
        <w:rPr>
          <w:rFonts w:ascii="Poppins" w:hAnsi="Poppins" w:cs="Poppins"/>
          <w:sz w:val="20"/>
          <w:szCs w:val="20"/>
        </w:rPr>
      </w:pPr>
      <w:r w:rsidRPr="00403197">
        <w:rPr>
          <w:rFonts w:ascii="Poppins" w:hAnsi="Poppins" w:cs="Poppins"/>
          <w:sz w:val="20"/>
          <w:szCs w:val="20"/>
        </w:rPr>
        <w:t>Experience in stroke care, epilepsy management, and movement disorders is highly advantageous</w:t>
      </w:r>
    </w:p>
    <w:p w14:paraId="4DF16CB9" w14:textId="6EB41DBF" w:rsidR="00403197" w:rsidRPr="00403197" w:rsidRDefault="00403197" w:rsidP="00403197">
      <w:pPr>
        <w:numPr>
          <w:ilvl w:val="0"/>
          <w:numId w:val="3"/>
        </w:numPr>
        <w:rPr>
          <w:rFonts w:ascii="Poppins" w:hAnsi="Poppins" w:cs="Poppins"/>
          <w:sz w:val="20"/>
          <w:szCs w:val="20"/>
        </w:rPr>
      </w:pPr>
      <w:r w:rsidRPr="00403197">
        <w:rPr>
          <w:rFonts w:ascii="Poppins" w:hAnsi="Poppins" w:cs="Poppins"/>
          <w:sz w:val="20"/>
          <w:szCs w:val="20"/>
        </w:rPr>
        <w:t>Strong team player with a professional, energetic, and driven approach to work</w:t>
      </w:r>
    </w:p>
    <w:p w14:paraId="41E4CC20" w14:textId="1C3A7B91" w:rsidR="00403197" w:rsidRPr="00403197" w:rsidRDefault="00403197" w:rsidP="00403197">
      <w:pPr>
        <w:numPr>
          <w:ilvl w:val="0"/>
          <w:numId w:val="3"/>
        </w:numPr>
        <w:rPr>
          <w:rFonts w:ascii="Poppins" w:hAnsi="Poppins" w:cs="Poppins"/>
          <w:sz w:val="20"/>
          <w:szCs w:val="20"/>
        </w:rPr>
      </w:pPr>
      <w:r w:rsidRPr="00403197">
        <w:rPr>
          <w:rFonts w:ascii="Poppins" w:hAnsi="Poppins" w:cs="Poppins"/>
          <w:sz w:val="20"/>
          <w:szCs w:val="20"/>
        </w:rPr>
        <w:t>Curious mind, self-motivated, and an active participant in ongoing improvement</w:t>
      </w:r>
    </w:p>
    <w:p w14:paraId="6890D78F" w14:textId="0AA337E8" w:rsidR="00403197" w:rsidRPr="00403197" w:rsidRDefault="00403197" w:rsidP="00403197">
      <w:pPr>
        <w:numPr>
          <w:ilvl w:val="0"/>
          <w:numId w:val="3"/>
        </w:numPr>
        <w:rPr>
          <w:rFonts w:ascii="Poppins" w:hAnsi="Poppins" w:cs="Poppins"/>
          <w:sz w:val="20"/>
          <w:szCs w:val="20"/>
        </w:rPr>
      </w:pPr>
      <w:r w:rsidRPr="00403197">
        <w:rPr>
          <w:rFonts w:ascii="Poppins" w:hAnsi="Poppins" w:cs="Poppins"/>
          <w:sz w:val="20"/>
          <w:szCs w:val="20"/>
        </w:rPr>
        <w:lastRenderedPageBreak/>
        <w:t>An interest in further developing local specialist services to meet the needs of a rapidly growing and culturally diverse population</w:t>
      </w:r>
    </w:p>
    <w:p w14:paraId="17AA6EEE" w14:textId="32A464AC" w:rsidR="00403197" w:rsidRPr="00403197" w:rsidRDefault="00403197" w:rsidP="00403197">
      <w:pPr>
        <w:numPr>
          <w:ilvl w:val="0"/>
          <w:numId w:val="3"/>
        </w:numPr>
        <w:rPr>
          <w:rFonts w:ascii="Poppins" w:hAnsi="Poppins" w:cs="Poppins"/>
          <w:sz w:val="20"/>
          <w:szCs w:val="20"/>
        </w:rPr>
      </w:pPr>
      <w:r w:rsidRPr="00403197">
        <w:rPr>
          <w:rFonts w:ascii="Poppins" w:hAnsi="Poppins" w:cs="Poppins"/>
          <w:sz w:val="20"/>
          <w:szCs w:val="20"/>
        </w:rPr>
        <w:t>Experience in an acute hospital setting</w:t>
      </w:r>
    </w:p>
    <w:p w14:paraId="262DAD0F" w14:textId="4EF3E1B9" w:rsidR="00403197" w:rsidRPr="00972F1C" w:rsidRDefault="00403197" w:rsidP="00403197">
      <w:pPr>
        <w:numPr>
          <w:ilvl w:val="0"/>
          <w:numId w:val="3"/>
        </w:numPr>
        <w:rPr>
          <w:rFonts w:ascii="Poppins" w:hAnsi="Poppins" w:cs="Poppins"/>
          <w:sz w:val="20"/>
          <w:szCs w:val="20"/>
        </w:rPr>
      </w:pPr>
      <w:r w:rsidRPr="00403197">
        <w:rPr>
          <w:rFonts w:ascii="Poppins" w:hAnsi="Poppins" w:cs="Poppins"/>
          <w:sz w:val="20"/>
          <w:szCs w:val="20"/>
        </w:rPr>
        <w:t>Actively participate in the education and training of undergraduate and postgraduate medical, nursing, and allied health staff</w:t>
      </w:r>
    </w:p>
    <w:p w14:paraId="6880C326" w14:textId="77777777" w:rsidR="00972F1C" w:rsidRPr="00972F1C" w:rsidRDefault="00972F1C" w:rsidP="00972F1C">
      <w:pPr>
        <w:rPr>
          <w:rFonts w:ascii="Poppins" w:hAnsi="Poppins" w:cs="Poppins"/>
          <w:sz w:val="20"/>
          <w:szCs w:val="20"/>
        </w:rPr>
      </w:pPr>
      <w:r w:rsidRPr="00972F1C">
        <w:rPr>
          <w:rFonts w:ascii="Poppins" w:hAnsi="Poppins" w:cs="Poppins"/>
          <w:b/>
          <w:bCs/>
          <w:sz w:val="20"/>
          <w:szCs w:val="20"/>
        </w:rPr>
        <w:t>Salary and benefits</w:t>
      </w:r>
    </w:p>
    <w:p w14:paraId="2ECB7FB8" w14:textId="77777777" w:rsidR="00972F1C" w:rsidRPr="00972F1C" w:rsidRDefault="00972F1C" w:rsidP="00972F1C">
      <w:pPr>
        <w:rPr>
          <w:rFonts w:ascii="Poppins" w:hAnsi="Poppins" w:cs="Poppins"/>
          <w:sz w:val="20"/>
          <w:szCs w:val="20"/>
        </w:rPr>
      </w:pPr>
      <w:r w:rsidRPr="00972F1C">
        <w:rPr>
          <w:rFonts w:ascii="Poppins" w:hAnsi="Poppins" w:cs="Poppins"/>
          <w:sz w:val="20"/>
          <w:szCs w:val="20"/>
        </w:rPr>
        <w:t>Senior Medical Officers receive 6 weeks of annual leave and 12 paid public holidays, giving you time to explore our beautiful country and raise a family in our diverse communities. Along with your base salary as a Senior Medical Officer, you will have an annual Continuing Medical Education (CME) allowance of NZ $16,000 (pro-rated for part-time employees), reimbursement of your registration and practising certificate fees and your professional indemnity insurance is covered by Health New Zealand.</w:t>
      </w:r>
    </w:p>
    <w:p w14:paraId="4FEF736F" w14:textId="77777777" w:rsidR="00972F1C" w:rsidRPr="00972F1C" w:rsidRDefault="00972F1C" w:rsidP="00972F1C">
      <w:pPr>
        <w:rPr>
          <w:rFonts w:ascii="Poppins" w:hAnsi="Poppins" w:cs="Poppins"/>
          <w:sz w:val="20"/>
          <w:szCs w:val="20"/>
        </w:rPr>
      </w:pPr>
      <w:r w:rsidRPr="00972F1C">
        <w:rPr>
          <w:rFonts w:ascii="Poppins" w:hAnsi="Poppins" w:cs="Poppins"/>
          <w:sz w:val="20"/>
          <w:szCs w:val="20"/>
        </w:rPr>
        <w:t>Senior Medical Officers receive a base salary relative to their level of experience.</w:t>
      </w:r>
    </w:p>
    <w:p w14:paraId="302C4F01" w14:textId="1105A99D" w:rsidR="00972F1C" w:rsidRPr="00972F1C" w:rsidRDefault="00972F1C" w:rsidP="00972F1C">
      <w:pPr>
        <w:numPr>
          <w:ilvl w:val="0"/>
          <w:numId w:val="2"/>
        </w:numPr>
        <w:rPr>
          <w:rFonts w:ascii="Poppins" w:hAnsi="Poppins" w:cs="Poppins"/>
          <w:sz w:val="20"/>
          <w:szCs w:val="20"/>
        </w:rPr>
      </w:pPr>
      <w:r w:rsidRPr="00972F1C">
        <w:rPr>
          <w:rFonts w:ascii="Poppins" w:hAnsi="Poppins" w:cs="Poppins"/>
          <w:sz w:val="20"/>
          <w:szCs w:val="20"/>
        </w:rPr>
        <w:t>Medical Officers annual salaries range 142K - 210K NZD plus allowances</w:t>
      </w:r>
    </w:p>
    <w:p w14:paraId="2EDF9F7F" w14:textId="2FF9C88D" w:rsidR="00972F1C" w:rsidRPr="00972F1C" w:rsidRDefault="00972F1C" w:rsidP="00972F1C">
      <w:pPr>
        <w:numPr>
          <w:ilvl w:val="0"/>
          <w:numId w:val="2"/>
        </w:numPr>
        <w:rPr>
          <w:rFonts w:ascii="Poppins" w:hAnsi="Poppins" w:cs="Poppins"/>
          <w:sz w:val="20"/>
          <w:szCs w:val="20"/>
        </w:rPr>
      </w:pPr>
      <w:r w:rsidRPr="00972F1C">
        <w:rPr>
          <w:rFonts w:ascii="Poppins" w:hAnsi="Poppins" w:cs="Poppins"/>
          <w:sz w:val="20"/>
          <w:szCs w:val="20"/>
        </w:rPr>
        <w:t>Medical Specialists annual salaries range 185K - $267K NZD plus allowances</w:t>
      </w:r>
    </w:p>
    <w:p w14:paraId="7D094A9F" w14:textId="40F5830A" w:rsidR="00972F1C" w:rsidRPr="00972F1C" w:rsidRDefault="00972F1C" w:rsidP="00972F1C">
      <w:pPr>
        <w:rPr>
          <w:rFonts w:ascii="Poppins" w:hAnsi="Poppins" w:cs="Poppins"/>
          <w:sz w:val="20"/>
          <w:szCs w:val="20"/>
        </w:rPr>
      </w:pPr>
      <w:r w:rsidRPr="00972F1C">
        <w:rPr>
          <w:rFonts w:ascii="Poppins" w:hAnsi="Poppins" w:cs="Poppins"/>
          <w:sz w:val="20"/>
          <w:szCs w:val="20"/>
        </w:rPr>
        <w:t>Additional allowances are paid on top of base salary and vary due to location and service.</w:t>
      </w:r>
    </w:p>
    <w:p w14:paraId="2B964AF6" w14:textId="77777777" w:rsidR="00403197" w:rsidRPr="00972F1C" w:rsidRDefault="00403197" w:rsidP="00403197">
      <w:pPr>
        <w:rPr>
          <w:rStyle w:val="Strong"/>
          <w:rFonts w:ascii="Poppins" w:eastAsiaTheme="majorEastAsia" w:hAnsi="Poppins" w:cs="Poppins"/>
          <w:kern w:val="0"/>
          <w:sz w:val="20"/>
          <w:szCs w:val="20"/>
          <w:lang w:eastAsia="en-NZ"/>
          <w14:ligatures w14:val="none"/>
        </w:rPr>
      </w:pPr>
      <w:r w:rsidRPr="00972F1C">
        <w:rPr>
          <w:rStyle w:val="Strong"/>
          <w:rFonts w:ascii="Poppins" w:eastAsiaTheme="majorEastAsia" w:hAnsi="Poppins" w:cs="Poppins"/>
          <w:kern w:val="0"/>
          <w:sz w:val="20"/>
          <w:szCs w:val="20"/>
          <w:lang w:eastAsia="en-NZ"/>
          <w14:ligatures w14:val="none"/>
        </w:rPr>
        <w:t>Call New Zealand home</w:t>
      </w:r>
    </w:p>
    <w:p w14:paraId="3FC69B14" w14:textId="77777777" w:rsidR="00403197" w:rsidRPr="00972F1C" w:rsidRDefault="00403197" w:rsidP="00403197">
      <w:pPr>
        <w:rPr>
          <w:rStyle w:val="Strong"/>
          <w:rFonts w:ascii="Poppins" w:eastAsiaTheme="majorEastAsia" w:hAnsi="Poppins" w:cs="Poppins"/>
          <w:b w:val="0"/>
          <w:bCs w:val="0"/>
          <w:kern w:val="0"/>
          <w:sz w:val="20"/>
          <w:szCs w:val="20"/>
          <w:lang w:eastAsia="en-NZ"/>
          <w14:ligatures w14:val="none"/>
        </w:rPr>
      </w:pPr>
      <w:r w:rsidRPr="00972F1C">
        <w:rPr>
          <w:rStyle w:val="Strong"/>
          <w:rFonts w:ascii="Poppins" w:eastAsiaTheme="majorEastAsia" w:hAnsi="Poppins" w:cs="Poppins"/>
          <w:b w:val="0"/>
          <w:bCs w:val="0"/>
          <w:kern w:val="0"/>
          <w:sz w:val="20"/>
          <w:szCs w:val="20"/>
          <w:lang w:eastAsia="en-NZ"/>
          <w14:ligatures w14:val="none"/>
        </w:rPr>
        <w:t>Once offered a position, our internal health immigration team can provide free support to you and your family with immigrating to New Zealand. This workforce is on the New Zealand immigration green list, so you have the opportunity for permanent residency in New Zealand.</w:t>
      </w:r>
    </w:p>
    <w:p w14:paraId="3733CC95" w14:textId="09DE0ADA" w:rsidR="00403197" w:rsidRPr="00972F1C" w:rsidRDefault="00403197" w:rsidP="00403197">
      <w:pPr>
        <w:rPr>
          <w:rStyle w:val="Strong"/>
          <w:rFonts w:ascii="Poppins" w:eastAsiaTheme="majorEastAsia" w:hAnsi="Poppins" w:cs="Poppins"/>
          <w:b w:val="0"/>
          <w:bCs w:val="0"/>
          <w:kern w:val="0"/>
          <w:sz w:val="20"/>
          <w:szCs w:val="20"/>
          <w:lang w:eastAsia="en-NZ"/>
          <w14:ligatures w14:val="none"/>
        </w:rPr>
      </w:pPr>
      <w:r w:rsidRPr="00972F1C">
        <w:rPr>
          <w:rStyle w:val="Strong"/>
          <w:rFonts w:ascii="Poppins" w:eastAsiaTheme="majorEastAsia" w:hAnsi="Poppins" w:cs="Poppins"/>
          <w:b w:val="0"/>
          <w:bCs w:val="0"/>
          <w:kern w:val="0"/>
          <w:sz w:val="20"/>
          <w:szCs w:val="20"/>
          <w:lang w:eastAsia="en-NZ"/>
          <w14:ligatures w14:val="none"/>
        </w:rPr>
        <w:t>One of the best things about living and working in New Zealand is the opportunity to experience nature, outdoor adventure and vibrant cities so close to where you live and work. You're never far away from your next adventure in New Zealand with access to hiking, skiing, mountain biking, and water sports, as well as fine dining and diving into traditional experiences to learn more about Māori culture all across the country.</w:t>
      </w:r>
    </w:p>
    <w:p w14:paraId="20E1FC1C" w14:textId="77777777" w:rsidR="00403197" w:rsidRPr="00403197" w:rsidRDefault="00403197" w:rsidP="00403197">
      <w:pPr>
        <w:rPr>
          <w:rFonts w:ascii="Poppins" w:hAnsi="Poppins" w:cs="Poppins"/>
          <w:sz w:val="20"/>
          <w:szCs w:val="20"/>
        </w:rPr>
      </w:pPr>
      <w:r w:rsidRPr="00403197">
        <w:rPr>
          <w:rFonts w:ascii="Poppins" w:hAnsi="Poppins" w:cs="Poppins"/>
          <w:b/>
          <w:bCs/>
          <w:sz w:val="20"/>
          <w:szCs w:val="20"/>
        </w:rPr>
        <w:t>How to apply</w:t>
      </w:r>
    </w:p>
    <w:p w14:paraId="18918B6D" w14:textId="77777777" w:rsidR="00403197" w:rsidRPr="00403197" w:rsidRDefault="00403197" w:rsidP="00403197">
      <w:pPr>
        <w:rPr>
          <w:rFonts w:ascii="Poppins" w:hAnsi="Poppins" w:cs="Poppins"/>
          <w:sz w:val="20"/>
          <w:szCs w:val="20"/>
        </w:rPr>
      </w:pPr>
      <w:r w:rsidRPr="00403197">
        <w:rPr>
          <w:rFonts w:ascii="Poppins" w:hAnsi="Poppins" w:cs="Poppins"/>
          <w:sz w:val="20"/>
          <w:szCs w:val="20"/>
        </w:rPr>
        <w:t xml:space="preserve">Please click 'apply now' to move forward. All applications must be submitted through our online careers portal. If you have questions, please email our recruiters </w:t>
      </w:r>
      <w:hyperlink r:id="rId6" w:tgtFrame="_blank" w:tooltip="mailto:internationalrecruitmentcentre@tewhatuora.govt.nz" w:history="1">
        <w:r w:rsidRPr="00403197">
          <w:rPr>
            <w:rStyle w:val="Hyperlink"/>
            <w:rFonts w:ascii="Poppins" w:hAnsi="Poppins" w:cs="Poppins"/>
            <w:color w:val="auto"/>
            <w:sz w:val="20"/>
            <w:szCs w:val="20"/>
          </w:rPr>
          <w:t>internationalrecruitmentcentre@tewhatuora.govt.nz</w:t>
        </w:r>
      </w:hyperlink>
    </w:p>
    <w:p w14:paraId="367A84E9" w14:textId="77777777" w:rsidR="00403197" w:rsidRPr="00403197" w:rsidRDefault="00403197" w:rsidP="00403197">
      <w:pPr>
        <w:rPr>
          <w:rFonts w:ascii="Poppins" w:hAnsi="Poppins" w:cs="Poppins"/>
          <w:sz w:val="20"/>
          <w:szCs w:val="20"/>
        </w:rPr>
      </w:pPr>
      <w:r w:rsidRPr="00403197">
        <w:rPr>
          <w:rFonts w:ascii="Poppins" w:hAnsi="Poppins" w:cs="Poppins"/>
          <w:sz w:val="20"/>
          <w:szCs w:val="20"/>
        </w:rPr>
        <w:t>We will review applications as received and may proceed with the recruitment process, before the closing date of this advert.</w:t>
      </w:r>
    </w:p>
    <w:p w14:paraId="008C5A3C" w14:textId="77777777" w:rsidR="00403197" w:rsidRPr="00403197" w:rsidRDefault="00403197" w:rsidP="00403197">
      <w:pPr>
        <w:rPr>
          <w:rFonts w:ascii="Poppins" w:hAnsi="Poppins" w:cs="Poppins"/>
          <w:sz w:val="20"/>
          <w:szCs w:val="20"/>
        </w:rPr>
      </w:pPr>
    </w:p>
    <w:p w14:paraId="3DD2D759" w14:textId="77777777" w:rsidR="00DC3071" w:rsidRPr="00972F1C" w:rsidRDefault="00DC3071">
      <w:pPr>
        <w:rPr>
          <w:rFonts w:ascii="Poppins" w:hAnsi="Poppins" w:cs="Poppins"/>
          <w:sz w:val="20"/>
          <w:szCs w:val="20"/>
        </w:rPr>
      </w:pPr>
    </w:p>
    <w:sectPr w:rsidR="00DC3071" w:rsidRPr="00972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Poppins">
    <w:altName w:val="Mangal"/>
    <w:panose1 w:val="00000500000000000000"/>
    <w:charset w:val="00"/>
    <w:family w:val="auto"/>
    <w:pitch w:val="variable"/>
    <w:sig w:usb0="00008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6766A"/>
    <w:multiLevelType w:val="multilevel"/>
    <w:tmpl w:val="13A2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55459"/>
    <w:multiLevelType w:val="multilevel"/>
    <w:tmpl w:val="60A2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43715"/>
    <w:multiLevelType w:val="multilevel"/>
    <w:tmpl w:val="AD6C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97"/>
    <w:rsid w:val="00346A62"/>
    <w:rsid w:val="00403197"/>
    <w:rsid w:val="00505A6C"/>
    <w:rsid w:val="00972F1C"/>
    <w:rsid w:val="00B14942"/>
    <w:rsid w:val="00B67328"/>
    <w:rsid w:val="00D21A78"/>
    <w:rsid w:val="00DC3071"/>
    <w:rsid w:val="26B7DE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A77578"/>
  <w15:chartTrackingRefBased/>
  <w15:docId w15:val="{E6787872-2AA7-4B83-975D-68535911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1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1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1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1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1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1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1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1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1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197"/>
    <w:rPr>
      <w:rFonts w:eastAsiaTheme="majorEastAsia" w:cstheme="majorBidi"/>
      <w:color w:val="272727" w:themeColor="text1" w:themeTint="D8"/>
    </w:rPr>
  </w:style>
  <w:style w:type="paragraph" w:styleId="Title">
    <w:name w:val="Title"/>
    <w:basedOn w:val="Normal"/>
    <w:next w:val="Normal"/>
    <w:link w:val="TitleChar"/>
    <w:uiPriority w:val="10"/>
    <w:qFormat/>
    <w:rsid w:val="00403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197"/>
    <w:pPr>
      <w:spacing w:before="160"/>
      <w:jc w:val="center"/>
    </w:pPr>
    <w:rPr>
      <w:i/>
      <w:iCs/>
      <w:color w:val="404040" w:themeColor="text1" w:themeTint="BF"/>
    </w:rPr>
  </w:style>
  <w:style w:type="character" w:customStyle="1" w:styleId="QuoteChar">
    <w:name w:val="Quote Char"/>
    <w:basedOn w:val="DefaultParagraphFont"/>
    <w:link w:val="Quote"/>
    <w:uiPriority w:val="29"/>
    <w:rsid w:val="00403197"/>
    <w:rPr>
      <w:i/>
      <w:iCs/>
      <w:color w:val="404040" w:themeColor="text1" w:themeTint="BF"/>
    </w:rPr>
  </w:style>
  <w:style w:type="paragraph" w:styleId="ListParagraph">
    <w:name w:val="List Paragraph"/>
    <w:basedOn w:val="Normal"/>
    <w:uiPriority w:val="34"/>
    <w:qFormat/>
    <w:rsid w:val="00403197"/>
    <w:pPr>
      <w:ind w:left="720"/>
      <w:contextualSpacing/>
    </w:pPr>
  </w:style>
  <w:style w:type="character" w:styleId="IntenseEmphasis">
    <w:name w:val="Intense Emphasis"/>
    <w:basedOn w:val="DefaultParagraphFont"/>
    <w:uiPriority w:val="21"/>
    <w:qFormat/>
    <w:rsid w:val="00403197"/>
    <w:rPr>
      <w:i/>
      <w:iCs/>
      <w:color w:val="0F4761" w:themeColor="accent1" w:themeShade="BF"/>
    </w:rPr>
  </w:style>
  <w:style w:type="paragraph" w:styleId="IntenseQuote">
    <w:name w:val="Intense Quote"/>
    <w:basedOn w:val="Normal"/>
    <w:next w:val="Normal"/>
    <w:link w:val="IntenseQuoteChar"/>
    <w:uiPriority w:val="30"/>
    <w:qFormat/>
    <w:rsid w:val="004031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197"/>
    <w:rPr>
      <w:i/>
      <w:iCs/>
      <w:color w:val="0F4761" w:themeColor="accent1" w:themeShade="BF"/>
    </w:rPr>
  </w:style>
  <w:style w:type="character" w:styleId="IntenseReference">
    <w:name w:val="Intense Reference"/>
    <w:basedOn w:val="DefaultParagraphFont"/>
    <w:uiPriority w:val="32"/>
    <w:qFormat/>
    <w:rsid w:val="00403197"/>
    <w:rPr>
      <w:b/>
      <w:bCs/>
      <w:smallCaps/>
      <w:color w:val="0F4761" w:themeColor="accent1" w:themeShade="BF"/>
      <w:spacing w:val="5"/>
    </w:rPr>
  </w:style>
  <w:style w:type="character" w:styleId="Hyperlink">
    <w:name w:val="Hyperlink"/>
    <w:basedOn w:val="DefaultParagraphFont"/>
    <w:uiPriority w:val="99"/>
    <w:unhideWhenUsed/>
    <w:rsid w:val="00403197"/>
    <w:rPr>
      <w:color w:val="467886" w:themeColor="hyperlink"/>
      <w:u w:val="single"/>
    </w:rPr>
  </w:style>
  <w:style w:type="character" w:styleId="UnresolvedMention">
    <w:name w:val="Unresolved Mention"/>
    <w:basedOn w:val="DefaultParagraphFont"/>
    <w:uiPriority w:val="99"/>
    <w:semiHidden/>
    <w:unhideWhenUsed/>
    <w:rsid w:val="00403197"/>
    <w:rPr>
      <w:color w:val="605E5C"/>
      <w:shd w:val="clear" w:color="auto" w:fill="E1DFDD"/>
    </w:rPr>
  </w:style>
  <w:style w:type="paragraph" w:styleId="NormalWeb">
    <w:name w:val="Normal (Web)"/>
    <w:basedOn w:val="Normal"/>
    <w:uiPriority w:val="99"/>
    <w:unhideWhenUsed/>
    <w:rsid w:val="00403197"/>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403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ionalrecruitmentcentre@tewhatuora.govt.nz" TargetMode="External"/><Relationship Id="rId5" Type="http://schemas.openxmlformats.org/officeDocument/2006/relationships/hyperlink" Target="https://www.mcnz.org.nz/get-registered/how-to-register/primary-source-verif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Phillips</dc:creator>
  <cp:keywords/>
  <dc:description/>
  <cp:lastModifiedBy>Microsoft Office User</cp:lastModifiedBy>
  <cp:revision>2</cp:revision>
  <dcterms:created xsi:type="dcterms:W3CDTF">2025-09-02T06:47:00Z</dcterms:created>
  <dcterms:modified xsi:type="dcterms:W3CDTF">2025-09-02T06:47:00Z</dcterms:modified>
</cp:coreProperties>
</file>